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rPr>
          <w:rFonts w:ascii="黑体" w:hAnsi="黑体" w:eastAsia="黑体" w:cs="Times New Roman"/>
          <w:color w:val="000000"/>
          <w:sz w:val="32"/>
          <w:szCs w:val="32"/>
        </w:rPr>
      </w:pPr>
      <w:bookmarkStart w:id="0" w:name="_GoBack"/>
      <w:bookmarkEnd w:id="0"/>
      <w:r>
        <w:rPr>
          <w:rFonts w:hint="eastAsia" w:ascii="黑体" w:hAnsi="黑体" w:eastAsia="黑体" w:cs="Times New Roman"/>
          <w:color w:val="000000"/>
          <w:sz w:val="32"/>
          <w:szCs w:val="32"/>
        </w:rPr>
        <w:t>附 件</w:t>
      </w:r>
    </w:p>
    <w:p>
      <w:pPr>
        <w:jc w:val="center"/>
        <w:rPr>
          <w:rFonts w:ascii="方正小标宋简体" w:hAnsi="Calibri" w:eastAsia="方正小标宋简体" w:cs="Times New Roman"/>
          <w:sz w:val="48"/>
          <w:szCs w:val="48"/>
        </w:rPr>
      </w:pPr>
      <w:r>
        <w:rPr>
          <w:rFonts w:hint="eastAsia" w:ascii="方正小标宋简体" w:hAnsi="Calibri" w:eastAsia="方正小标宋简体" w:cs="Times New Roman"/>
          <w:bCs/>
          <w:spacing w:val="10"/>
          <w:sz w:val="52"/>
          <w:szCs w:val="52"/>
        </w:rPr>
        <w:t>2023年度</w:t>
      </w:r>
      <w:r>
        <w:rPr>
          <w:rFonts w:hint="eastAsia" w:ascii="方正小标宋简体" w:hAnsi="黑体" w:eastAsia="方正小标宋简体" w:cs="Times New Roman"/>
          <w:sz w:val="48"/>
          <w:szCs w:val="48"/>
        </w:rPr>
        <w:t>河南省教育装备创新成果名录</w:t>
      </w:r>
    </w:p>
    <w:tbl>
      <w:tblPr>
        <w:tblStyle w:val="8"/>
        <w:tblW w:w="1444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960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647" w:type="dxa"/>
            <w:shd w:val="clear" w:color="auto" w:fill="auto"/>
            <w:vAlign w:val="center"/>
          </w:tcPr>
          <w:p>
            <w:pPr>
              <w:spacing w:line="320" w:lineRule="exact"/>
              <w:jc w:val="center"/>
              <w:rPr>
                <w:rFonts w:ascii="黑体" w:hAnsi="黑体" w:eastAsia="黑体" w:cs="Times New Roman"/>
                <w:bCs/>
                <w:color w:val="000000"/>
                <w:kern w:val="0"/>
                <w:sz w:val="24"/>
                <w:szCs w:val="24"/>
              </w:rPr>
            </w:pPr>
            <w:r>
              <w:rPr>
                <w:rFonts w:hint="eastAsia" w:ascii="黑体" w:hAnsi="黑体" w:eastAsia="黑体" w:cs="Times New Roman"/>
                <w:bCs/>
                <w:color w:val="000000"/>
                <w:kern w:val="0"/>
                <w:sz w:val="24"/>
                <w:szCs w:val="24"/>
              </w:rPr>
              <w:t>创新成果名称</w:t>
            </w:r>
          </w:p>
        </w:tc>
        <w:tc>
          <w:tcPr>
            <w:tcW w:w="9600" w:type="dxa"/>
            <w:shd w:val="clear" w:color="auto" w:fill="auto"/>
            <w:vAlign w:val="center"/>
          </w:tcPr>
          <w:p>
            <w:pPr>
              <w:spacing w:line="320" w:lineRule="exact"/>
              <w:jc w:val="center"/>
              <w:rPr>
                <w:rFonts w:ascii="黑体" w:hAnsi="黑体" w:eastAsia="黑体" w:cs="Times New Roman"/>
                <w:bCs/>
                <w:color w:val="000000"/>
                <w:kern w:val="0"/>
                <w:sz w:val="24"/>
                <w:szCs w:val="24"/>
              </w:rPr>
            </w:pPr>
            <w:r>
              <w:rPr>
                <w:rFonts w:hint="eastAsia" w:ascii="黑体" w:hAnsi="黑体" w:eastAsia="黑体" w:cs="Times New Roman"/>
                <w:bCs/>
                <w:color w:val="000000"/>
                <w:kern w:val="0"/>
                <w:sz w:val="24"/>
                <w:szCs w:val="24"/>
              </w:rPr>
              <w:t>技术特征及应用</w:t>
            </w:r>
          </w:p>
        </w:tc>
        <w:tc>
          <w:tcPr>
            <w:tcW w:w="2202" w:type="dxa"/>
            <w:shd w:val="clear" w:color="auto" w:fill="auto"/>
            <w:vAlign w:val="center"/>
          </w:tcPr>
          <w:p>
            <w:pPr>
              <w:spacing w:line="320" w:lineRule="exact"/>
              <w:jc w:val="center"/>
              <w:rPr>
                <w:rFonts w:ascii="黑体" w:hAnsi="黑体" w:eastAsia="黑体" w:cs="Times New Roman"/>
                <w:bCs/>
                <w:color w:val="000000"/>
                <w:kern w:val="0"/>
                <w:sz w:val="24"/>
                <w:szCs w:val="24"/>
              </w:rPr>
            </w:pPr>
            <w:r>
              <w:rPr>
                <w:rFonts w:hint="eastAsia" w:ascii="黑体" w:hAnsi="黑体" w:eastAsia="黑体" w:cs="Times New Roman"/>
                <w:bCs/>
                <w:color w:val="000000"/>
                <w:kern w:val="0"/>
                <w:sz w:val="24"/>
                <w:szCs w:val="24"/>
              </w:rPr>
              <w:t>申报企业名称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kern w:val="0"/>
                <w:sz w:val="20"/>
                <w:szCs w:val="21"/>
              </w:rPr>
            </w:pPr>
            <w:r>
              <w:rPr>
                <w:rFonts w:hint="eastAsia" w:ascii="仿宋_GB2312" w:hAnsi="宋体" w:eastAsia="仿宋_GB2312" w:cs="宋体"/>
                <w:color w:val="000000"/>
                <w:kern w:val="0"/>
                <w:sz w:val="20"/>
                <w:szCs w:val="21"/>
                <w:lang w:bidi="ar"/>
              </w:rPr>
              <w:t>捷能通校园智能健康照明系统建设</w:t>
            </w:r>
          </w:p>
        </w:tc>
        <w:tc>
          <w:tcPr>
            <w:tcW w:w="9600" w:type="dxa"/>
            <w:vAlign w:val="center"/>
          </w:tcPr>
          <w:p>
            <w:pPr>
              <w:spacing w:line="356"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黑板灯采用格栅式防眩光设计，解决眩光问题；教室灯采用特殊的格栅设计及偏光处理，消除有害蓝光，提高照度及人眼舒适度。独特的驱动电源外置方案，弹出式设计，便于产品免工具维护及升级操作。可拓展物联网智能模块、音响扩声、紫外杀菌等功能。</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厦门捷能通光电科技有限公司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安全环保保健智能校服</w:t>
            </w:r>
          </w:p>
        </w:tc>
        <w:tc>
          <w:tcPr>
            <w:tcW w:w="9600" w:type="dxa"/>
            <w:vAlign w:val="center"/>
          </w:tcPr>
          <w:p>
            <w:pPr>
              <w:spacing w:line="356" w:lineRule="exact"/>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利用石墨烯内暖纤维面料，储存人体热量，排出汗液和湿气，起到环保和保健的作用，热转印技术的反光贴和反光条，起到安全警示环保的作用。采用iMark核心技术生成的智能校服监管码，实现一物一码，具备防走失定位、可溯源性与不可篡改性。</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伊顿利兹服饰股份有限公司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立达信悦光教室灯</w:t>
            </w:r>
          </w:p>
        </w:tc>
        <w:tc>
          <w:tcPr>
            <w:tcW w:w="9600" w:type="dxa"/>
            <w:vAlign w:val="center"/>
          </w:tcPr>
          <w:p>
            <w:pPr>
              <w:spacing w:line="356"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与自然光的拟合度达90%以上光谱，将自然光“搬”进室内，保护学生视力并提升学生的专注度；独家专利不等边六边形格栅设计，能够高效出光防止眩光；一体化边框设计，背部出光，避免光线直射学生眼睛，见光不见灯。</w:t>
            </w:r>
          </w:p>
        </w:tc>
        <w:tc>
          <w:tcPr>
            <w:tcW w:w="2202" w:type="dxa"/>
            <w:vMerge w:val="restart"/>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厦门立达信数字教育科技有限公司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立达信定向投射书写板专用灯</w:t>
            </w:r>
          </w:p>
        </w:tc>
        <w:tc>
          <w:tcPr>
            <w:tcW w:w="9600" w:type="dxa"/>
            <w:vAlign w:val="center"/>
          </w:tcPr>
          <w:p>
            <w:pPr>
              <w:spacing w:line="356"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与自然光的拟合度达90%以上光谱，满足“照度优、无眩光、无频闪、无蓝光、色温适中、显色指数高”六大好光标准，定向调制出光，满足国家教室照明标准值，吊杆底座滑道设计，可灵活安装。</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仿真实验教学平台与操作手册</w:t>
            </w:r>
          </w:p>
        </w:tc>
        <w:tc>
          <w:tcPr>
            <w:tcW w:w="9600" w:type="dxa"/>
            <w:vAlign w:val="center"/>
          </w:tcPr>
          <w:p>
            <w:pPr>
              <w:spacing w:line="356"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仿真实验教学平台与操作手册》系列产品可帮助初中、高中学生熟练掌握物理、化学、生物实验中的实验步骤、实验器材以及教学知识点等重点、难点，有效解决目前学校理化生实验教学，实验操作中存在的问题。</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河南省新华书店发行集团有限公司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华夏手造手工教室</w:t>
            </w:r>
          </w:p>
        </w:tc>
        <w:tc>
          <w:tcPr>
            <w:tcW w:w="9600" w:type="dxa"/>
            <w:vAlign w:val="center"/>
          </w:tcPr>
          <w:p>
            <w:pPr>
              <w:spacing w:line="356" w:lineRule="exact"/>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以手工劳动教育为目的，融合了传统手工、非遗手工与现代手工门类，对手工知识与内容进行标准化、系统化设计，贴合不同年龄段学生的认知与实践水平，菜单式选择手工劳动教育课程，让学生与老师快速地进入手工情境、实践操作与设计创作。</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河南科学技术出版社有限公司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鸿合多媒体教室解决方案</w:t>
            </w:r>
          </w:p>
        </w:tc>
        <w:tc>
          <w:tcPr>
            <w:tcW w:w="9600" w:type="dxa"/>
            <w:vAlign w:val="center"/>
          </w:tcPr>
          <w:p>
            <w:pPr>
              <w:spacing w:line="356"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智能数字绿板、智能交互黑板、交互平板、投影机、录播系统，搭载鸿合壁挂展台、麦克风、音视频一体机、电子教鞭及交互式教学软件、集控系统、系统管家、鸿合Π6、多屏互动等软件，硬件内置滤蓝光护眼功能，保护师生视力健康，创造最佳人机交互体验。</w:t>
            </w:r>
          </w:p>
        </w:tc>
        <w:tc>
          <w:tcPr>
            <w:tcW w:w="2202" w:type="dxa"/>
            <w:vMerge w:val="restart"/>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深圳市鸿合创新信息技术有限责任公司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鸿合“鸿合三点伴、鸿合云平台、鸿合集控管理平台”应用解决方案</w:t>
            </w:r>
          </w:p>
        </w:tc>
        <w:tc>
          <w:tcPr>
            <w:tcW w:w="9600" w:type="dxa"/>
            <w:vAlign w:val="center"/>
          </w:tcPr>
          <w:p>
            <w:pPr>
              <w:spacing w:line="356"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 xml:space="preserve"> “平台+课程+师资+服务”四维一体的“鸿合三点伴”解决方案，鸿合云平台是以云计算、大数据等技术为基础打造的，涵盖资源、试题、数据、应用的综合性平台。鸿合集中控制管理平台，为用户提供方便快捷的统一管理方案。</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伟达VR教学系统软件产品方案</w:t>
            </w:r>
          </w:p>
        </w:tc>
        <w:tc>
          <w:tcPr>
            <w:tcW w:w="9600" w:type="dxa"/>
            <w:vAlign w:val="center"/>
          </w:tcPr>
          <w:p>
            <w:pPr>
              <w:spacing w:line="340" w:lineRule="atLeas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教学系统软件通过虚拟技术运用以及开放管理方式，填补中高职及本科院校学生信息化教学资源与实践操作渠道资源的匮乏，解决了学生实训高投入、高损耗、高风险及难实施、难观摩、难再现的“三高三难”问题。</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河南伟达电子技术有限公司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海康威视智慧教室</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运用物联感知、大数据、人工智能等先进技术，以智能管控和互动教学为核心，打通录播、考勤、班班通、智慧照明、三个课堂、教学评估等应用壁垒，为学校、教师、学生打造高效课堂、精准教学，实现教育技术与教学应用的深度融合。</w:t>
            </w:r>
          </w:p>
        </w:tc>
        <w:tc>
          <w:tcPr>
            <w:tcW w:w="2202" w:type="dxa"/>
            <w:vMerge w:val="restart"/>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杭州海康威视数字技术股份有限公司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海康威视云眸-智慧照明</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以教室智能网关为中心，连接照明、电源、环境、开关、面板等设备，实现教室的照明、环境、安全、能耗和用电的统一管理，实现对设备的一键控制。通过云眸平台收集并汇聚教室里设备的使用情况、状态，满足管理者对教室设备监管的需求，实现健康护眼、节能减排、智能物联等目标，为孩子营造健康、安全、智能的优质光环境。</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keepNext/>
              <w:keepLines/>
              <w:spacing w:line="320" w:lineRule="exact"/>
              <w:jc w:val="center"/>
              <w:outlineLvl w:val="1"/>
              <w:rPr>
                <w:rFonts w:hint="eastAsia"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山景新型教室护眼照明</w:t>
            </w:r>
          </w:p>
          <w:p>
            <w:pPr>
              <w:keepNext/>
              <w:keepLines/>
              <w:spacing w:line="320" w:lineRule="exact"/>
              <w:ind w:left="404" w:hanging="404" w:hangingChars="202"/>
              <w:jc w:val="center"/>
              <w:outlineLvl w:val="1"/>
              <w:rPr>
                <w:rFonts w:ascii="仿宋_GB2312" w:hAnsi="宋体" w:eastAsia="仿宋_GB2312" w:cs="Times New Roman"/>
                <w:color w:val="000000"/>
                <w:kern w:val="0"/>
                <w:sz w:val="20"/>
                <w:szCs w:val="21"/>
              </w:rPr>
            </w:pPr>
            <w:r>
              <w:rPr>
                <w:rFonts w:hint="eastAsia" w:ascii="仿宋_GB2312" w:hAnsi="宋体" w:eastAsia="仿宋_GB2312" w:cs="宋体"/>
                <w:color w:val="000000"/>
                <w:kern w:val="0"/>
                <w:sz w:val="20"/>
                <w:szCs w:val="21"/>
              </w:rPr>
              <w:t>解决方案</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灯具采用2835LED芯片设计，高科技防眩技术，达到亮度高、显色好,降低频闪的效果，实现全光谱防眩护眼，外壳采用航空铝材、阻燃ABS材质和扩展板，灯具轻便、坚实耐用，为学生打造无害自然光照环境。</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河南览山教育科技有限公司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华仕顿校服</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运用最新的设计理念和制作工艺，将校园文化和校服完美融合；在校服色彩和用料上根据不同年龄段学生的特点，选择合适的颜色、面辅料，满足不同年龄阶段学生的服装需要，彰显学生性格特点。在颜色上采用最新的固色工艺，使校服颜色鲜艳，不易掉色。</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河南华仕顿服饰有限公司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学科教室</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该方案基于新课改教学要求，构建以学生为中心，以深度定制为手段的专属学科教室空间；倡导教学情景化、空间最大化、功能实用化、审美普适化、品质极致化、服务星级化的建设理念，更好解决课改背景下的学科教室建设。</w:t>
            </w:r>
          </w:p>
        </w:tc>
        <w:tc>
          <w:tcPr>
            <w:tcW w:w="2202" w:type="dxa"/>
            <w:vMerge w:val="restart"/>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郑州利生科教设备有限公司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课桌椅（凳）</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产品具有纠正坐姿，矫正驼背，预防近视，升降便捷，环保舒适，准国标材料，安全耐用，激光定制校本文化特色。桌面和椅（凳）面采用工程塑料一次注塑成型，依据人体工程学原理，采用曲面弧形设计，舒适安全；钢材采用准国标材料，全机器人焊接，安全耐用。</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利生定制＋教学空间定制平台</w:t>
            </w:r>
          </w:p>
        </w:tc>
        <w:tc>
          <w:tcPr>
            <w:tcW w:w="9600" w:type="dxa"/>
            <w:vAlign w:val="center"/>
          </w:tcPr>
          <w:p>
            <w:pPr>
              <w:spacing w:line="340" w:lineRule="atLeas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该平台以学生为中心、构建专属教学空间的在线定制快速设计系统。实现教学情景化、空间最大化、功能实用化、审美普适化、品质极致化、服务星级化功能。适用未来教室、学科实验室、教师发展中心、学生宿舍等专属教学空间设计定制，开创教学空间定制+时代。</w:t>
            </w:r>
          </w:p>
        </w:tc>
        <w:tc>
          <w:tcPr>
            <w:tcW w:w="2202" w:type="dxa"/>
            <w:vMerge w:val="restart"/>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郑州利生创客空间有限公司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利生实验教学创客空间</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该空间集实验教学创客空间、教育装备新标准展示中心（教学空间定制中心）、综合教育装备电子商务平台、中小学劳动教育实践教育基地为一体的综合平台，服务于中小学自制教具的研发制作、成果展示、课题联合申报实施、成果孵化转化、学术交流等活动。</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希沃智慧校园建设方案</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智慧校园建设方案是智能化基础设施先进完备、云边端体系结构健全开放、信息化业务系统整合协同、空间应用线上线下融合流畅、数智技术赋能精准高效、课程课堂评价整合升级、师生素养发展持续推进、安全保障运行机制健全、学校办学特色与成效显著的现代化校园建设方案。</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广州视睿电子科技有限公司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2647" w:type="dxa"/>
            <w:vAlign w:val="center"/>
          </w:tcPr>
          <w:p>
            <w:pPr>
              <w:spacing w:line="320" w:lineRule="exact"/>
              <w:jc w:val="center"/>
              <w:rPr>
                <w:rFonts w:ascii="仿宋_GB2312" w:hAnsi="宋体" w:eastAsia="仿宋_GB2312" w:cs="宋体"/>
                <w:bCs/>
                <w:color w:val="000000"/>
                <w:kern w:val="0"/>
                <w:sz w:val="20"/>
                <w:szCs w:val="21"/>
              </w:rPr>
            </w:pPr>
            <w:r>
              <w:rPr>
                <w:rFonts w:hint="eastAsia" w:ascii="仿宋_GB2312" w:hAnsi="宋体" w:eastAsia="仿宋_GB2312" w:cs="宋体"/>
                <w:kern w:val="0"/>
                <w:sz w:val="20"/>
                <w:szCs w:val="21"/>
              </w:rPr>
              <w:t>数字化课堂系列产品</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数字化课堂由超大全屏手触+多媒体教学系统+高分子环保板书笔+投影机组成。将传统教学及现代数字化教学结合于一体，将分散的多媒体设备融合成一套系统，具有简易操作性、超强兼容性、高度集成性、无尘化教学、丰富教学资源库等特点。</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中国（深圳）教育企业股份有限公司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鹰之魂冲锋衣、校服、运动服</w:t>
            </w:r>
          </w:p>
        </w:tc>
        <w:tc>
          <w:tcPr>
            <w:tcW w:w="9600" w:type="dxa"/>
            <w:vAlign w:val="center"/>
          </w:tcPr>
          <w:p>
            <w:pPr>
              <w:spacing w:line="34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采用功能性面料优化学生的穿着体验，抗菌除臭材料为学生提供清新健康的亲肤体感；防御紫外线材料带给学生全方位的防护；热保护材料的隔热层可锁住热能让学生温暖舒适；领口袖口处增加可调节设计，适应学生身体发育变化。</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河南省大雄鹰服饰有限公司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金阳NFC智能校服</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拉链头内置NFC数据芯片，可接入智慧校园系统。具有智能识别、智能支付、GPS定位、智能签到打卡、校服丢失找回等功能；智能芯片在学生、家长、学校之间形成闭环，守护学生安全。</w:t>
            </w:r>
          </w:p>
        </w:tc>
        <w:tc>
          <w:tcPr>
            <w:tcW w:w="2202" w:type="dxa"/>
            <w:vMerge w:val="restart"/>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金阳教育科技集团(郑州）有限公司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金阳抗静电校服</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采用双向防静电的功能设计，衣服面料与人体皮肤摩擦产生的静电（正电和负电）可以通过循环放电电路将静电循环释放，最大程度的避免静电对人体或电器设备的危害。</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宝森教室用室内LED吊灯实用新型技术</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灯具采用防眩微晶板及格栅设计，通过防蓝光防眩光试验，达到耐黄变效果，并能有效防尘、防异物、防水。根据使用环境及条件，可接入5G智慧照明设计系统，通过智能平台与开关及环境感应器的连接，自动调整教室光照情况。</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山西宝森科技有限公司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trPr>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邦尼德校服智能化系列</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利用计算机数字化、标准化进行服装图形绘制，对不同的服装进行快速彩绘，图形显示，作出判断和修改，对服装的设计和制作作出智能化、标准化的创新，创立自己独特品牌形象，打造具有民族特征学生校服，即表现了统一性，又表现了时尚性。</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信阳市申立制衣有限公司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施码特智能联动横向跳码系统</w:t>
            </w:r>
          </w:p>
        </w:tc>
        <w:tc>
          <w:tcPr>
            <w:tcW w:w="9600" w:type="dxa"/>
            <w:vAlign w:val="center"/>
          </w:tcPr>
          <w:p>
            <w:pPr>
              <w:widowControl/>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采用计算机CAD智能联动科技，横向跳码、精码设计智能多码联动数据，校服专属版型系统，进行学生装版型个性化人性化创新，对不同体型数据输入数据库智能联动最优组合，选定出符合学生年龄精细尺码版型，精致版型融合校服设计新理念，创造出优质、合体、美观、舒适的学生装产品。</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河南博弘服饰有限公司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莲城博雅高棉数码印花校服</w:t>
            </w:r>
          </w:p>
        </w:tc>
        <w:tc>
          <w:tcPr>
            <w:tcW w:w="9600" w:type="dxa"/>
            <w:vAlign w:val="center"/>
          </w:tcPr>
          <w:p>
            <w:pPr>
              <w:spacing w:line="34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利用最新面料及先进的计算机数码印花CAD系统、CAM系统、CMIS技术，让天然纤维织物色彩多样化、标准化。校服标准在含棉规定下，对高棉原始布料颜色转换，让单一颜色面料进行最快速的撞色，增加或变换图形，呈现各种多样的颜色变化。体现了服装的多彩化、标准化、舒适性、时尚性，达到完美创新。</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Times New Roman"/>
                <w:color w:val="000000"/>
                <w:kern w:val="0"/>
                <w:sz w:val="20"/>
                <w:szCs w:val="21"/>
              </w:rPr>
              <w:t>许昌博雅服装有限公司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一种保暖防寒安全警示校服</w:t>
            </w:r>
          </w:p>
        </w:tc>
        <w:tc>
          <w:tcPr>
            <w:tcW w:w="9600" w:type="dxa"/>
            <w:vAlign w:val="center"/>
          </w:tcPr>
          <w:p>
            <w:pPr>
              <w:spacing w:line="33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传统的校服采用添加反光条作为安全警示，突兀且起不到美观的效果，安全警示校服通过高分子纳米技术研制染料，以数码印花的方式与校服完美结合，即可以满足用户任意图案需求，起到完美安全警示作用。</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Times New Roman"/>
                <w:color w:val="000000"/>
                <w:kern w:val="0"/>
                <w:sz w:val="20"/>
                <w:szCs w:val="21"/>
              </w:rPr>
              <w:t>杭州思美服饰有限公司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贝讴设计师新型校服</w:t>
            </w:r>
          </w:p>
        </w:tc>
        <w:tc>
          <w:tcPr>
            <w:tcW w:w="9600" w:type="dxa"/>
            <w:vAlign w:val="center"/>
          </w:tcPr>
          <w:p>
            <w:pPr>
              <w:spacing w:line="33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产品以“贝家安康、讴歌时尚”为理念，将国际元素与传统经典相结合，将安全健康与美丽时尚相整合，打造专属中国校园文化的特色校服，展示新时代中国少年的英姿飒爽。</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吾道实业（上海）有限公司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衣领秀美校服系列</w:t>
            </w:r>
          </w:p>
        </w:tc>
        <w:tc>
          <w:tcPr>
            <w:tcW w:w="9600" w:type="dxa"/>
            <w:vAlign w:val="center"/>
          </w:tcPr>
          <w:p>
            <w:pPr>
              <w:spacing w:line="33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校服采用智能数字化设计、立体裁剪、色彩结合，同时采用科技弹性面料运动时更舒展更方便，多方结合体现特色化校服，缝合平整、领要符贴、袖要立体，充分发挥校服衣领、袖美的制作工艺主题，达到校服完美的精神风貌。</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信阳市羊山新区星东立服装厂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天喻教育区校一体化解决方案</w:t>
            </w:r>
          </w:p>
        </w:tc>
        <w:tc>
          <w:tcPr>
            <w:tcW w:w="9600" w:type="dxa"/>
            <w:vAlign w:val="center"/>
          </w:tcPr>
          <w:p>
            <w:pPr>
              <w:spacing w:line="330" w:lineRule="exact"/>
              <w:rPr>
                <w:rFonts w:ascii="仿宋_GB2312" w:hAnsi="宋体" w:eastAsia="仿宋_GB2312" w:cs="宋体"/>
                <w:color w:val="000000"/>
                <w:spacing w:val="-10"/>
                <w:kern w:val="0"/>
                <w:sz w:val="20"/>
                <w:szCs w:val="21"/>
              </w:rPr>
            </w:pPr>
            <w:r>
              <w:rPr>
                <w:rFonts w:hint="eastAsia" w:ascii="仿宋_GB2312" w:hAnsi="宋体" w:eastAsia="仿宋_GB2312" w:cs="宋体"/>
                <w:color w:val="000000"/>
                <w:spacing w:val="-10"/>
                <w:kern w:val="0"/>
                <w:sz w:val="20"/>
                <w:szCs w:val="21"/>
              </w:rPr>
              <w:t>平台利用互联网、云计算、大数据、区块链等新一代信息技术进行构建，并导入智能化服务理念和技术，建立以知识图谱为基础的资源共享服务，实现教育资源主动服务、精准服务、个性服务，从“人找资源”变为“资源找人”；同时打通不同业务系统间数据壁垒，彻底破除信息孤岛。实现数据驱动的智能化教育决策和管理。</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武汉天喻教育科技有限公司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3D打印创新教育、VR教育、机器人教育、无人机创客教育系统</w:t>
            </w:r>
          </w:p>
        </w:tc>
        <w:tc>
          <w:tcPr>
            <w:tcW w:w="9600" w:type="dxa"/>
            <w:vAlign w:val="center"/>
          </w:tcPr>
          <w:p>
            <w:pPr>
              <w:spacing w:line="33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创客教育系统包含3D打印、VR教育、机器人、无人机等各种创新教育体系建设，集合美劳、艺术、科学及电脑课程，从艺术素养、软件应用、科学普及等方面进行素质教育培养，服务于中小学的创新、创客、社团、比赛等一系列创客教育活动。</w:t>
            </w:r>
          </w:p>
        </w:tc>
        <w:tc>
          <w:tcPr>
            <w:tcW w:w="2202" w:type="dxa"/>
            <w:vMerge w:val="restart"/>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河南酷派三维科技有限公司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3D打印技术应用专业建设及其3D打印公共实训平台体系</w:t>
            </w:r>
          </w:p>
        </w:tc>
        <w:tc>
          <w:tcPr>
            <w:tcW w:w="9600" w:type="dxa"/>
            <w:vAlign w:val="center"/>
          </w:tcPr>
          <w:p>
            <w:pPr>
              <w:spacing w:line="33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3D打印公共实训平台体系以西安交通大学快速制造国家工程研究中心为技术支撑，重点服务教育、医疗、文化创意、航空航天军工、智能装备制造、汽车、电子电器等行业应用领域。为中小学、中高职、本科等相关教育行业定制开发创新教育整体解决方案。</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创维智慧教育解决方案</w:t>
            </w:r>
          </w:p>
        </w:tc>
        <w:tc>
          <w:tcPr>
            <w:tcW w:w="9600" w:type="dxa"/>
            <w:vAlign w:val="center"/>
          </w:tcPr>
          <w:p>
            <w:pPr>
              <w:spacing w:line="33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创维智慧教育解决方案以液晶触摸一体机、智慧黑板、投屏专家等硬件为载体，配合创维优课和天赐云平台、集控管理、远程教学、班牌管理等软件系统，打造出多交互、高效率的多媒体教学模式，实现欢乐趣味教学。</w:t>
            </w:r>
          </w:p>
        </w:tc>
        <w:tc>
          <w:tcPr>
            <w:tcW w:w="2202" w:type="dxa"/>
            <w:vMerge w:val="restart"/>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郑州广益天地电子设备有限公司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中教照明护眼灯系列</w:t>
            </w:r>
          </w:p>
        </w:tc>
        <w:tc>
          <w:tcPr>
            <w:tcW w:w="9600" w:type="dxa"/>
            <w:vAlign w:val="center"/>
          </w:tcPr>
          <w:p>
            <w:pPr>
              <w:spacing w:line="33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专注于校园视力健康保护，通过优异的光电参数、EMC、蓝光控制等技术，并结合智慧校园物联管控系统，实现教室灯光、教师考勤、访客预约、电子班牌、PC及移动端远程控制等数据化互联互通服务，为学校提供多层次、宽领域的全方位服务管理体系。</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智能击打呐喊宣泄系统</w:t>
            </w:r>
          </w:p>
        </w:tc>
        <w:tc>
          <w:tcPr>
            <w:tcW w:w="9600" w:type="dxa"/>
            <w:vAlign w:val="center"/>
          </w:tcPr>
          <w:p>
            <w:pPr>
              <w:spacing w:line="32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智能击打呐喊宣泄系统通过采集训练者的击打力度和频率、声音分贝及持续时间，系统智能匹配相应的指导语音，使训练者能在新颖独特的游戏训练中消除焦虑、紧张、冲动、压抑等负面情绪，从而达到身心放松、压力缓解、情绪疏散的宣泄效果。</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河南心理健康产业发展有限公司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一种可以自由调节裤长的裤装</w:t>
            </w:r>
          </w:p>
        </w:tc>
        <w:tc>
          <w:tcPr>
            <w:tcW w:w="9600" w:type="dxa"/>
            <w:vAlign w:val="center"/>
          </w:tcPr>
          <w:p>
            <w:pPr>
              <w:spacing w:line="32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裤装为可自由调节裤长变换长短裤的校园风制式裤子，属于一裤多穿类型，满足学生在不同场景环境中的裤装需求。裤子设计为可拆卸裤腿，在裤体沿裤脚往上设有两排纽扣以及扣眼，在裤脚处设有一排拉链齿以及滑动件，可自由调节裤长，满足衣服的多样化穿着需求。</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江苏苏美达伊顿纪德品牌管理有限公司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数字智慧教室</w:t>
            </w:r>
          </w:p>
        </w:tc>
        <w:tc>
          <w:tcPr>
            <w:tcW w:w="9600" w:type="dxa"/>
            <w:vAlign w:val="center"/>
          </w:tcPr>
          <w:p>
            <w:pPr>
              <w:spacing w:line="32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数字智慧教室，高科技的空间设计，让教室更明亮，学习环境更舒适，智慧照明、消毒、空气净化、音响、窗帘、空调、风扇、录播、智慧黑板、环境监测等进行物联智能管理，实现触屏控制，手机端电脑端监控和管理。</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深圳成才照明科技有限公司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定向扩声系统</w:t>
            </w:r>
          </w:p>
        </w:tc>
        <w:tc>
          <w:tcPr>
            <w:tcW w:w="9600" w:type="dxa"/>
            <w:vAlign w:val="center"/>
          </w:tcPr>
          <w:p>
            <w:pPr>
              <w:spacing w:line="32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基于定向声技术的定向广播系统，实现操场的噪声减排，显著降低对周边环境的干扰。实现声音分区控制，将声音控制在操场范围内清晰传播；通过专业声场设计，大幅降低声反馈，增强语音清晰度；解决传统广播混响、声音异步、延时等问题，实现声场均衡。</w:t>
            </w:r>
          </w:p>
        </w:tc>
        <w:tc>
          <w:tcPr>
            <w:tcW w:w="2202" w:type="dxa"/>
            <w:vMerge w:val="restart"/>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江苏中协智能科技有限公司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双师课堂扩声系统</w:t>
            </w:r>
          </w:p>
        </w:tc>
        <w:tc>
          <w:tcPr>
            <w:tcW w:w="9600" w:type="dxa"/>
            <w:vAlign w:val="center"/>
          </w:tcPr>
          <w:p>
            <w:pPr>
              <w:spacing w:line="32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双师课堂扩声系统由线性阵列麦克风、音频处理器和线性阵列声柱组成，通过扬声器终端的升级，让教室获得科学、完美的听声体验，适应复杂的扩声环境。同时方案也整合多项核心音频处理技术，实现智能音频处理、边扩边录边远程互动。</w:t>
            </w:r>
          </w:p>
        </w:tc>
        <w:tc>
          <w:tcPr>
            <w:tcW w:w="2202" w:type="dxa"/>
            <w:vMerge w:val="continue"/>
            <w:vAlign w:val="center"/>
          </w:tcPr>
          <w:p>
            <w:pPr>
              <w:spacing w:line="320" w:lineRule="exact"/>
              <w:jc w:val="center"/>
              <w:rPr>
                <w:rFonts w:ascii="仿宋_GB2312" w:hAnsi="宋体" w:eastAsia="仿宋_GB2312" w:cs="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lang w:bidi="ar"/>
              </w:rPr>
            </w:pPr>
            <w:r>
              <w:rPr>
                <w:rFonts w:hint="eastAsia" w:ascii="仿宋_GB2312" w:hAnsi="宋体" w:eastAsia="仿宋_GB2312" w:cs="宋体"/>
                <w:color w:val="000000"/>
                <w:kern w:val="0"/>
                <w:sz w:val="20"/>
                <w:szCs w:val="21"/>
                <w:lang w:bidi="ar"/>
              </w:rPr>
              <w:t>AI智慧教室解决方案</w:t>
            </w:r>
          </w:p>
        </w:tc>
        <w:tc>
          <w:tcPr>
            <w:tcW w:w="9600" w:type="dxa"/>
            <w:vAlign w:val="center"/>
          </w:tcPr>
          <w:p>
            <w:pPr>
              <w:spacing w:line="32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结合人工智能、大数据、雾计算等前沿技术，为线上线下融合式教育教学提供数字化支撑环境，通过全场景、伴随式的数据采集与多模态数据分析，生成可视化分析报告，为教学、教研、管理应用提供实证化的数据支撑，助力教、学、研、管、测的数字化转型。</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广州市奥威亚电子科技有限公司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光之力全护眼教室照明灯具系统</w:t>
            </w:r>
          </w:p>
        </w:tc>
        <w:tc>
          <w:tcPr>
            <w:tcW w:w="9600" w:type="dxa"/>
            <w:vAlign w:val="center"/>
          </w:tcPr>
          <w:p>
            <w:pPr>
              <w:spacing w:line="320" w:lineRule="exact"/>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采用双重降蓝光、防眩光结构，结合优异的散热设计，全护眼教室照明灯具光色参数优异、安全可靠、寿命50000小时；可根据实际需求拓展智慧物联控制系统，实现恒照度控制、人体感应和应急管理等功能。</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深圳市兴特能源科技有限公司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智慧校园智慧护眼照明一体化解决方案</w:t>
            </w:r>
          </w:p>
        </w:tc>
        <w:tc>
          <w:tcPr>
            <w:tcW w:w="9600" w:type="dxa"/>
            <w:vAlign w:val="center"/>
          </w:tcPr>
          <w:p>
            <w:pPr>
              <w:spacing w:line="320" w:lineRule="exact"/>
              <w:rPr>
                <w:rFonts w:ascii="仿宋_GB2312" w:hAnsi="宋体" w:eastAsia="仿宋_GB2312" w:cs="宋体"/>
                <w:kern w:val="0"/>
                <w:sz w:val="20"/>
                <w:szCs w:val="21"/>
              </w:rPr>
            </w:pPr>
            <w:r>
              <w:rPr>
                <w:rFonts w:hint="eastAsia" w:ascii="仿宋_GB2312" w:hAnsi="宋体" w:eastAsia="仿宋_GB2312" w:cs="宋体"/>
                <w:color w:val="000000"/>
                <w:kern w:val="0"/>
                <w:sz w:val="20"/>
                <w:szCs w:val="21"/>
              </w:rPr>
              <w:t>通过采用光配方技术模拟太阳光谱的专利，全光谱LED灯珠（无蓝光、高显值、无频闪）、防眩格栅技术、恒照度自动调节模块、智能系统，将太阳光谱中对人体有益的波段搬进教室，用科技让健康的光走进校园。</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河南博教电子科技有限公司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上禾智能身高体重测量仪/健康体检一体机</w:t>
            </w:r>
          </w:p>
        </w:tc>
        <w:tc>
          <w:tcPr>
            <w:tcW w:w="9600" w:type="dxa"/>
            <w:vAlign w:val="center"/>
          </w:tcPr>
          <w:p>
            <w:pPr>
              <w:spacing w:line="32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基于安卓系统开发设计的智能体检系统，采用自主研发的毫米波雷达传感器，实现健康体检数据与云平台系统的互联互通，便于个人用户和单位用户通过手机或PC端远程查询和数据统计分析健康数据。</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郑州上禾电子科技有限公司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三水校服</w:t>
            </w:r>
          </w:p>
        </w:tc>
        <w:tc>
          <w:tcPr>
            <w:tcW w:w="9600" w:type="dxa"/>
            <w:vAlign w:val="center"/>
          </w:tcPr>
          <w:p>
            <w:pPr>
              <w:spacing w:line="320" w:lineRule="exact"/>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遵循学生成长规律大数据、人体工程学及校园穿着需求，配备国内高水平的自主研发设计团队，加强功能性面料及技术的设计研发与创新，旗下冲锋衣，防水保暖、耐水洗、耐摩擦。抗起球、抗起毛、弹性校服面料技术以及纯棉植物吸湿、快干、凉感技术。</w:t>
            </w:r>
          </w:p>
        </w:tc>
        <w:tc>
          <w:tcPr>
            <w:tcW w:w="2202" w:type="dxa"/>
            <w:vAlign w:val="center"/>
          </w:tcPr>
          <w:p>
            <w:pPr>
              <w:spacing w:line="320" w:lineRule="exact"/>
              <w:jc w:val="center"/>
              <w:rPr>
                <w:rFonts w:ascii="仿宋_GB2312" w:hAnsi="宋体" w:eastAsia="仿宋_GB2312" w:cs="Times New Roman"/>
                <w:color w:val="000000"/>
                <w:kern w:val="0"/>
                <w:sz w:val="20"/>
                <w:szCs w:val="21"/>
              </w:rPr>
            </w:pPr>
            <w:r>
              <w:rPr>
                <w:rFonts w:hint="eastAsia" w:ascii="仿宋_GB2312" w:hAnsi="宋体" w:eastAsia="仿宋_GB2312" w:cs="Times New Roman"/>
                <w:color w:val="000000"/>
                <w:kern w:val="0"/>
                <w:sz w:val="20"/>
                <w:szCs w:val="21"/>
              </w:rPr>
              <w:t>郑州三水服饰有限公司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7"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“司酷特萌”智能校服</w:t>
            </w:r>
          </w:p>
        </w:tc>
        <w:tc>
          <w:tcPr>
            <w:tcW w:w="9600" w:type="dxa"/>
            <w:vAlign w:val="center"/>
          </w:tcPr>
          <w:p>
            <w:pPr>
              <w:spacing w:line="320" w:lineRule="exact"/>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智能校服加入含芯片的校徽，配合微信客户端，在校园内配置扫描终端，即时扫描芯片的位置变化，实现家长和老师在手机上随时了解学生的位置信息和活动轨迹，进出校园等重要信息，更好的维护学生的安全。</w:t>
            </w:r>
          </w:p>
        </w:tc>
        <w:tc>
          <w:tcPr>
            <w:tcW w:w="2202" w:type="dxa"/>
            <w:vAlign w:val="center"/>
          </w:tcPr>
          <w:p>
            <w:pPr>
              <w:spacing w:line="320" w:lineRule="exact"/>
              <w:jc w:val="center"/>
              <w:rPr>
                <w:rFonts w:ascii="仿宋_GB2312" w:hAnsi="宋体" w:eastAsia="仿宋_GB2312" w:cs="宋体"/>
                <w:color w:val="000000"/>
                <w:kern w:val="0"/>
                <w:sz w:val="20"/>
                <w:szCs w:val="21"/>
              </w:rPr>
            </w:pPr>
            <w:r>
              <w:rPr>
                <w:rFonts w:hint="eastAsia" w:ascii="仿宋_GB2312" w:hAnsi="宋体" w:eastAsia="仿宋_GB2312" w:cs="宋体"/>
                <w:color w:val="000000"/>
                <w:kern w:val="0"/>
                <w:sz w:val="20"/>
                <w:szCs w:val="21"/>
              </w:rPr>
              <w:t>河南省司酷特萌服装有限公司</w:t>
            </w:r>
          </w:p>
        </w:tc>
      </w:tr>
    </w:tbl>
    <w:p>
      <w:pPr>
        <w:snapToGrid w:val="0"/>
        <w:spacing w:line="580" w:lineRule="exact"/>
        <w:rPr>
          <w:rFonts w:ascii="仿宋_GB2312" w:hAnsi="黑体" w:eastAsia="仿宋_GB2312"/>
          <w:color w:val="000000" w:themeColor="text1"/>
          <w:sz w:val="32"/>
          <w:szCs w:val="32"/>
        </w:rPr>
      </w:pPr>
    </w:p>
    <w:sectPr>
      <w:footerReference r:id="rId3" w:type="default"/>
      <w:footerReference r:id="rId4" w:type="even"/>
      <w:pgSz w:w="16838" w:h="11906" w:orient="landscape"/>
      <w:pgMar w:top="1134"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69109"/>
      <w:docPartObj>
        <w:docPartGallery w:val="autotext"/>
      </w:docPartObj>
    </w:sdtPr>
    <w:sdtContent>
      <w:p>
        <w:pPr>
          <w:pStyle w:val="5"/>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69110"/>
      <w:docPartObj>
        <w:docPartGallery w:val="autotext"/>
      </w:docPartObj>
    </w:sdtPr>
    <w:sdtContent>
      <w:p>
        <w:pPr>
          <w:pStyle w:val="5"/>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4</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I2NzFjYzBjY2YwYjBjMmRmOTVkNDZhZTAyNGNjYjMifQ=="/>
  </w:docVars>
  <w:rsids>
    <w:rsidRoot w:val="00EE5C69"/>
    <w:rsid w:val="00007D9B"/>
    <w:rsid w:val="00022027"/>
    <w:rsid w:val="000220EE"/>
    <w:rsid w:val="000566EE"/>
    <w:rsid w:val="00082360"/>
    <w:rsid w:val="00084B95"/>
    <w:rsid w:val="00091753"/>
    <w:rsid w:val="000A0D0B"/>
    <w:rsid w:val="000A2F53"/>
    <w:rsid w:val="000C4A1D"/>
    <w:rsid w:val="000C5CAA"/>
    <w:rsid w:val="000D34BA"/>
    <w:rsid w:val="000E4C40"/>
    <w:rsid w:val="001159F6"/>
    <w:rsid w:val="00125456"/>
    <w:rsid w:val="00134C2E"/>
    <w:rsid w:val="00195E58"/>
    <w:rsid w:val="00196187"/>
    <w:rsid w:val="00196DF8"/>
    <w:rsid w:val="001A7E02"/>
    <w:rsid w:val="001B3926"/>
    <w:rsid w:val="001C01A5"/>
    <w:rsid w:val="001C01ED"/>
    <w:rsid w:val="001C02FB"/>
    <w:rsid w:val="001E19D2"/>
    <w:rsid w:val="001E371F"/>
    <w:rsid w:val="001F2C65"/>
    <w:rsid w:val="00230A55"/>
    <w:rsid w:val="0023281A"/>
    <w:rsid w:val="00244FE6"/>
    <w:rsid w:val="00255470"/>
    <w:rsid w:val="00255F9A"/>
    <w:rsid w:val="002613C4"/>
    <w:rsid w:val="002619CF"/>
    <w:rsid w:val="00265F84"/>
    <w:rsid w:val="00266ECB"/>
    <w:rsid w:val="00276DA0"/>
    <w:rsid w:val="00287668"/>
    <w:rsid w:val="002B07C4"/>
    <w:rsid w:val="002B0E53"/>
    <w:rsid w:val="002C78EF"/>
    <w:rsid w:val="002D5418"/>
    <w:rsid w:val="002D56C6"/>
    <w:rsid w:val="00305738"/>
    <w:rsid w:val="00307ED8"/>
    <w:rsid w:val="0031216C"/>
    <w:rsid w:val="00326EF6"/>
    <w:rsid w:val="00331E05"/>
    <w:rsid w:val="00334631"/>
    <w:rsid w:val="003502A2"/>
    <w:rsid w:val="00364434"/>
    <w:rsid w:val="003651B2"/>
    <w:rsid w:val="00365205"/>
    <w:rsid w:val="0037319E"/>
    <w:rsid w:val="0037631C"/>
    <w:rsid w:val="00385A85"/>
    <w:rsid w:val="00392541"/>
    <w:rsid w:val="00393A6B"/>
    <w:rsid w:val="00396521"/>
    <w:rsid w:val="003B5D10"/>
    <w:rsid w:val="003E4D3A"/>
    <w:rsid w:val="003E6F7E"/>
    <w:rsid w:val="003F06E7"/>
    <w:rsid w:val="003F189D"/>
    <w:rsid w:val="003F49EC"/>
    <w:rsid w:val="00421E93"/>
    <w:rsid w:val="00431A72"/>
    <w:rsid w:val="00434DC8"/>
    <w:rsid w:val="00437375"/>
    <w:rsid w:val="00475666"/>
    <w:rsid w:val="00481040"/>
    <w:rsid w:val="004B1214"/>
    <w:rsid w:val="004B35A3"/>
    <w:rsid w:val="004B434E"/>
    <w:rsid w:val="004C1065"/>
    <w:rsid w:val="004D47EB"/>
    <w:rsid w:val="004F3E20"/>
    <w:rsid w:val="00537039"/>
    <w:rsid w:val="005447F7"/>
    <w:rsid w:val="005565F3"/>
    <w:rsid w:val="005571BB"/>
    <w:rsid w:val="00566F9A"/>
    <w:rsid w:val="005766BD"/>
    <w:rsid w:val="00576FBD"/>
    <w:rsid w:val="0058646C"/>
    <w:rsid w:val="005879D1"/>
    <w:rsid w:val="005A34E3"/>
    <w:rsid w:val="005B3D13"/>
    <w:rsid w:val="005E6750"/>
    <w:rsid w:val="005E6966"/>
    <w:rsid w:val="00606D0E"/>
    <w:rsid w:val="006175BA"/>
    <w:rsid w:val="006178C9"/>
    <w:rsid w:val="0063513D"/>
    <w:rsid w:val="00637888"/>
    <w:rsid w:val="00643FB7"/>
    <w:rsid w:val="00662238"/>
    <w:rsid w:val="006756A0"/>
    <w:rsid w:val="0068548A"/>
    <w:rsid w:val="00687C4C"/>
    <w:rsid w:val="00696376"/>
    <w:rsid w:val="006B3BF3"/>
    <w:rsid w:val="007135F6"/>
    <w:rsid w:val="0073137C"/>
    <w:rsid w:val="007428F7"/>
    <w:rsid w:val="00746021"/>
    <w:rsid w:val="00750B39"/>
    <w:rsid w:val="007742FD"/>
    <w:rsid w:val="00774BE5"/>
    <w:rsid w:val="00781A28"/>
    <w:rsid w:val="00782BD5"/>
    <w:rsid w:val="00790FCC"/>
    <w:rsid w:val="007B15B9"/>
    <w:rsid w:val="007B5C0A"/>
    <w:rsid w:val="007B7191"/>
    <w:rsid w:val="007C5D6A"/>
    <w:rsid w:val="007C7634"/>
    <w:rsid w:val="007F636A"/>
    <w:rsid w:val="0080376B"/>
    <w:rsid w:val="008050F0"/>
    <w:rsid w:val="00806EE6"/>
    <w:rsid w:val="00820441"/>
    <w:rsid w:val="008358F9"/>
    <w:rsid w:val="00847374"/>
    <w:rsid w:val="00875B30"/>
    <w:rsid w:val="00880EFA"/>
    <w:rsid w:val="00882412"/>
    <w:rsid w:val="008931A2"/>
    <w:rsid w:val="008A3CEE"/>
    <w:rsid w:val="008B3347"/>
    <w:rsid w:val="008C09D9"/>
    <w:rsid w:val="008C3323"/>
    <w:rsid w:val="008D767E"/>
    <w:rsid w:val="008F19E6"/>
    <w:rsid w:val="008F411C"/>
    <w:rsid w:val="009015A7"/>
    <w:rsid w:val="0091485A"/>
    <w:rsid w:val="00956BFA"/>
    <w:rsid w:val="00980BFA"/>
    <w:rsid w:val="00981F43"/>
    <w:rsid w:val="009853EF"/>
    <w:rsid w:val="0099337C"/>
    <w:rsid w:val="0099639E"/>
    <w:rsid w:val="009A590D"/>
    <w:rsid w:val="009B03B6"/>
    <w:rsid w:val="009C6B5C"/>
    <w:rsid w:val="009D4F4F"/>
    <w:rsid w:val="009D7FDB"/>
    <w:rsid w:val="00A31B7A"/>
    <w:rsid w:val="00A36F51"/>
    <w:rsid w:val="00A40629"/>
    <w:rsid w:val="00A40F05"/>
    <w:rsid w:val="00A50844"/>
    <w:rsid w:val="00A539B5"/>
    <w:rsid w:val="00A658E7"/>
    <w:rsid w:val="00A77686"/>
    <w:rsid w:val="00A81C4D"/>
    <w:rsid w:val="00A85AD8"/>
    <w:rsid w:val="00AB421F"/>
    <w:rsid w:val="00B01CBA"/>
    <w:rsid w:val="00B24F10"/>
    <w:rsid w:val="00B401C3"/>
    <w:rsid w:val="00B44664"/>
    <w:rsid w:val="00B5056E"/>
    <w:rsid w:val="00B5406B"/>
    <w:rsid w:val="00B67D3A"/>
    <w:rsid w:val="00BA5CA4"/>
    <w:rsid w:val="00BA6405"/>
    <w:rsid w:val="00BB3400"/>
    <w:rsid w:val="00BB42A4"/>
    <w:rsid w:val="00BD2EBC"/>
    <w:rsid w:val="00BD7BB3"/>
    <w:rsid w:val="00BF1820"/>
    <w:rsid w:val="00BF2571"/>
    <w:rsid w:val="00BF490F"/>
    <w:rsid w:val="00C000BF"/>
    <w:rsid w:val="00C077C8"/>
    <w:rsid w:val="00C1703E"/>
    <w:rsid w:val="00C17F6E"/>
    <w:rsid w:val="00C24486"/>
    <w:rsid w:val="00C36DA8"/>
    <w:rsid w:val="00C54516"/>
    <w:rsid w:val="00C55FD8"/>
    <w:rsid w:val="00C71E9D"/>
    <w:rsid w:val="00C9131B"/>
    <w:rsid w:val="00CC0CA2"/>
    <w:rsid w:val="00D12EC9"/>
    <w:rsid w:val="00D224AB"/>
    <w:rsid w:val="00D37FFD"/>
    <w:rsid w:val="00D45DAF"/>
    <w:rsid w:val="00D5153F"/>
    <w:rsid w:val="00D56E29"/>
    <w:rsid w:val="00D63A20"/>
    <w:rsid w:val="00D63B41"/>
    <w:rsid w:val="00D8243B"/>
    <w:rsid w:val="00D86BEA"/>
    <w:rsid w:val="00D9730B"/>
    <w:rsid w:val="00DA0DB2"/>
    <w:rsid w:val="00DB1F0D"/>
    <w:rsid w:val="00DC1F2D"/>
    <w:rsid w:val="00DD0042"/>
    <w:rsid w:val="00DD01F5"/>
    <w:rsid w:val="00DD596A"/>
    <w:rsid w:val="00DE187D"/>
    <w:rsid w:val="00E05020"/>
    <w:rsid w:val="00E17F24"/>
    <w:rsid w:val="00E313BB"/>
    <w:rsid w:val="00E3786E"/>
    <w:rsid w:val="00E43FE8"/>
    <w:rsid w:val="00E53AA5"/>
    <w:rsid w:val="00E80C3E"/>
    <w:rsid w:val="00E91F4C"/>
    <w:rsid w:val="00E92783"/>
    <w:rsid w:val="00E96F7A"/>
    <w:rsid w:val="00EA0F2C"/>
    <w:rsid w:val="00EA5D15"/>
    <w:rsid w:val="00EB0ABC"/>
    <w:rsid w:val="00EC5686"/>
    <w:rsid w:val="00EE5C69"/>
    <w:rsid w:val="00F004EA"/>
    <w:rsid w:val="00F02962"/>
    <w:rsid w:val="00F10B4E"/>
    <w:rsid w:val="00F33200"/>
    <w:rsid w:val="00F3436B"/>
    <w:rsid w:val="00F62682"/>
    <w:rsid w:val="00F86763"/>
    <w:rsid w:val="00F96F1D"/>
    <w:rsid w:val="00FC4013"/>
    <w:rsid w:val="00FD05D3"/>
    <w:rsid w:val="00FD1BFB"/>
    <w:rsid w:val="00FD233C"/>
    <w:rsid w:val="00FE1951"/>
    <w:rsid w:val="322D0962"/>
    <w:rsid w:val="64B71D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adjustRightInd w:val="0"/>
      <w:spacing w:before="96"/>
      <w:ind w:left="102"/>
      <w:jc w:val="left"/>
    </w:pPr>
    <w:rPr>
      <w:rFonts w:ascii="仿宋_GB2312" w:hAnsi="Times New Roman" w:eastAsia="仿宋_GB2312" w:cs="仿宋_GB2312"/>
      <w:kern w:val="0"/>
      <w:sz w:val="30"/>
      <w:szCs w:val="30"/>
    </w:rPr>
  </w:style>
  <w:style w:type="paragraph" w:styleId="3">
    <w:name w:val="Date"/>
    <w:basedOn w:val="1"/>
    <w:next w:val="1"/>
    <w:link w:val="14"/>
    <w:semiHidden/>
    <w:unhideWhenUsed/>
    <w:qFormat/>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正文文本 Char"/>
    <w:basedOn w:val="9"/>
    <w:link w:val="2"/>
    <w:uiPriority w:val="99"/>
    <w:rPr>
      <w:rFonts w:ascii="仿宋_GB2312" w:hAnsi="Times New Roman" w:eastAsia="仿宋_GB2312" w:cs="仿宋_GB2312"/>
      <w:kern w:val="0"/>
      <w:sz w:val="30"/>
      <w:szCs w:val="30"/>
    </w:rPr>
  </w:style>
  <w:style w:type="character" w:customStyle="1" w:styleId="13">
    <w:name w:val="批注框文本 Char"/>
    <w:basedOn w:val="9"/>
    <w:link w:val="4"/>
    <w:semiHidden/>
    <w:uiPriority w:val="99"/>
    <w:rPr>
      <w:sz w:val="18"/>
      <w:szCs w:val="18"/>
    </w:rPr>
  </w:style>
  <w:style w:type="character" w:customStyle="1" w:styleId="14">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0CBA-5EBA-4FC2-8F2B-9AE79C143BC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967</Words>
  <Characters>5513</Characters>
  <Lines>45</Lines>
  <Paragraphs>12</Paragraphs>
  <TotalTime>84</TotalTime>
  <ScaleCrop>false</ScaleCrop>
  <LinksUpToDate>false</LinksUpToDate>
  <CharactersWithSpaces>6468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2023-09-07T09:20:00Z</dcterms:created>
  <dc:creator>Windows 用户</dc:creator>
  <cp:lastModifiedBy>李磊</cp:lastModifiedBy>
  <cp:lastPrinted>2023-09-26T00:31:00Z</cp:lastPrinted>
  <dcterms:modified xsi:type="dcterms:W3CDTF">2023-09-28T08:25:29Z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11B1C47DF8974CC89949C44E7EE087FC_12</vt:lpwstr>
  </property>
</Properties>
</file>