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231" w:line="223" w:lineRule="auto"/>
        <w:ind w:left="2760"/>
        <w:outlineLvl w:val="0"/>
        <w:rPr>
          <w:rFonts w:ascii="宋体" w:hAnsi="宋体" w:eastAsia="宋体" w:cs="宋体"/>
          <w:sz w:val="71"/>
          <w:szCs w:val="71"/>
        </w:rPr>
      </w:pPr>
      <w:r>
        <w:rPr>
          <w:rFonts w:ascii="宋体" w:hAnsi="宋体" w:eastAsia="宋体" w:cs="宋体"/>
          <w:b/>
          <w:bCs/>
          <w:spacing w:val="-5"/>
          <w:sz w:val="71"/>
          <w:szCs w:val="71"/>
        </w:rPr>
        <w:t>活动规则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91" w:line="221" w:lineRule="auto"/>
        <w:ind w:left="29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一、活动组别</w:t>
      </w:r>
    </w:p>
    <w:p>
      <w:pPr>
        <w:pStyle w:val="2"/>
        <w:spacing w:before="278" w:line="226" w:lineRule="auto"/>
        <w:ind w:left="37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1"/>
        </w:rPr>
        <w:t xml:space="preserve"> </w:t>
      </w:r>
      <w:r>
        <w:rPr>
          <w:spacing w:val="-1"/>
        </w:rPr>
        <w:t>活动分为三个组别：小学低年级组、小学高年级组、初中组。</w:t>
      </w:r>
    </w:p>
    <w:p>
      <w:pPr>
        <w:pStyle w:val="2"/>
        <w:spacing w:before="282" w:line="350" w:lineRule="auto"/>
        <w:ind w:left="457" w:right="59" w:hanging="420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2"/>
        </w:rPr>
        <w:t xml:space="preserve"> </w:t>
      </w:r>
      <w:r>
        <w:rPr>
          <w:spacing w:val="-3"/>
        </w:rPr>
        <w:t>活动支持个人赛及团队赛，可由</w:t>
      </w:r>
      <w:r>
        <w:rPr>
          <w:spacing w:val="-42"/>
        </w:rPr>
        <w:t xml:space="preserve"> </w:t>
      </w:r>
      <w:r>
        <w:rPr>
          <w:spacing w:val="-3"/>
        </w:rPr>
        <w:t>1-3</w:t>
      </w:r>
      <w:r>
        <w:rPr>
          <w:spacing w:val="-50"/>
        </w:rPr>
        <w:t xml:space="preserve"> </w:t>
      </w:r>
      <w:r>
        <w:rPr>
          <w:spacing w:val="-3"/>
        </w:rPr>
        <w:t>名学生组成，既体现“一人</w:t>
      </w:r>
      <w:r>
        <w:t xml:space="preserve"> </w:t>
      </w:r>
      <w:r>
        <w:rPr>
          <w:spacing w:val="-1"/>
        </w:rPr>
        <w:t>公司”的独立精神，也允许进行小组协作，模拟初创团队的真实</w:t>
      </w:r>
      <w:r>
        <w:rPr>
          <w:spacing w:val="3"/>
        </w:rPr>
        <w:t xml:space="preserve"> </w:t>
      </w:r>
      <w:r>
        <w:rPr>
          <w:spacing w:val="-5"/>
        </w:rPr>
        <w:t>工作场景。</w:t>
      </w:r>
    </w:p>
    <w:p>
      <w:pPr>
        <w:pStyle w:val="2"/>
        <w:spacing w:before="278" w:line="226" w:lineRule="auto"/>
        <w:ind w:left="37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2"/>
        </w:rPr>
        <w:t xml:space="preserve"> </w:t>
      </w:r>
      <w:r>
        <w:rPr>
          <w:spacing w:val="-6"/>
        </w:rPr>
        <w:t>每支队伍限报</w:t>
      </w:r>
      <w:r>
        <w:rPr>
          <w:spacing w:val="-40"/>
        </w:rPr>
        <w:t xml:space="preserve"> </w:t>
      </w:r>
      <w:r>
        <w:rPr>
          <w:spacing w:val="-6"/>
        </w:rPr>
        <w:t>1</w:t>
      </w:r>
      <w:r>
        <w:rPr>
          <w:spacing w:val="-49"/>
        </w:rPr>
        <w:t xml:space="preserve"> </w:t>
      </w:r>
      <w:r>
        <w:rPr>
          <w:spacing w:val="-6"/>
        </w:rPr>
        <w:t>名指导教师。</w:t>
      </w: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91" w:line="220" w:lineRule="auto"/>
        <w:ind w:left="29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二、现场任务</w:t>
      </w:r>
    </w:p>
    <w:p>
      <w:pPr>
        <w:pStyle w:val="2"/>
        <w:spacing w:before="278" w:line="320" w:lineRule="auto"/>
        <w:ind w:left="459" w:right="59" w:hanging="422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0"/>
        </w:rPr>
        <w:t xml:space="preserve"> </w:t>
      </w:r>
      <w:r>
        <w:rPr>
          <w:spacing w:val="-2"/>
        </w:rPr>
        <w:t>活动围绕“一人公司</w:t>
      </w:r>
      <w:r>
        <w:rPr>
          <w:spacing w:val="-103"/>
        </w:rPr>
        <w:t xml:space="preserve"> </w:t>
      </w:r>
      <w:r>
        <w:rPr>
          <w:spacing w:val="-2"/>
        </w:rPr>
        <w:t>”的产品研发流程，设计</w:t>
      </w:r>
      <w:r>
        <w:rPr>
          <w:spacing w:val="-3"/>
        </w:rPr>
        <w:t>四个核心环节，需</w:t>
      </w:r>
      <w:r>
        <w:t xml:space="preserve"> </w:t>
      </w:r>
      <w:r>
        <w:rPr>
          <w:spacing w:val="-1"/>
        </w:rPr>
        <w:t>求与洞察、方案与设计、研发与调试、发布</w:t>
      </w:r>
      <w:r>
        <w:rPr>
          <w:spacing w:val="-2"/>
        </w:rPr>
        <w:t>与展示，</w:t>
      </w:r>
    </w:p>
    <w:p>
      <w:pPr>
        <w:pStyle w:val="2"/>
        <w:spacing w:before="278" w:line="226" w:lineRule="auto"/>
        <w:ind w:left="37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9"/>
        </w:rPr>
        <w:t xml:space="preserve"> </w:t>
      </w:r>
      <w:r>
        <w:t>每个任务环节均需记录AIGC</w:t>
      </w:r>
      <w:r>
        <w:rPr>
          <w:spacing w:val="-47"/>
        </w:rPr>
        <w:t xml:space="preserve"> </w:t>
      </w:r>
      <w:r>
        <w:t>交互日志，体现创作交互过程。</w:t>
      </w:r>
    </w:p>
    <w:p>
      <w:pPr>
        <w:pStyle w:val="2"/>
        <w:spacing w:before="281" w:line="321" w:lineRule="auto"/>
        <w:ind w:left="454" w:right="13" w:hanging="417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5"/>
        </w:rPr>
        <w:t xml:space="preserve"> </w:t>
      </w:r>
      <w:r>
        <w:rPr>
          <w:spacing w:val="-6"/>
        </w:rPr>
        <w:t>现场活动时长约为</w:t>
      </w:r>
      <w:r>
        <w:rPr>
          <w:spacing w:val="-43"/>
        </w:rPr>
        <w:t xml:space="preserve"> </w:t>
      </w:r>
      <w:r>
        <w:rPr>
          <w:spacing w:val="-6"/>
        </w:rPr>
        <w:t>1～2</w:t>
      </w:r>
      <w:r>
        <w:rPr>
          <w:spacing w:val="-49"/>
        </w:rPr>
        <w:t xml:space="preserve"> </w:t>
      </w:r>
      <w:r>
        <w:rPr>
          <w:spacing w:val="-6"/>
        </w:rPr>
        <w:t>天，具体安排以全市现场交流展示活动通</w:t>
      </w:r>
      <w:r>
        <w:t xml:space="preserve"> </w:t>
      </w:r>
      <w:r>
        <w:rPr>
          <w:spacing w:val="-6"/>
        </w:rPr>
        <w:t>知为准。</w:t>
      </w:r>
    </w:p>
    <w:p>
      <w:pPr>
        <w:pStyle w:val="2"/>
        <w:spacing w:before="275" w:line="351" w:lineRule="auto"/>
        <w:ind w:left="454" w:right="13" w:hanging="417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0"/>
        </w:rPr>
        <w:t xml:space="preserve"> </w:t>
      </w:r>
      <w:r>
        <w:rPr>
          <w:spacing w:val="-3"/>
        </w:rPr>
        <w:t>AIGC</w:t>
      </w:r>
      <w:r>
        <w:rPr>
          <w:spacing w:val="-46"/>
        </w:rPr>
        <w:t xml:space="preserve"> </w:t>
      </w:r>
      <w:r>
        <w:rPr>
          <w:spacing w:val="-3"/>
        </w:rPr>
        <w:t>交互日志贯穿项目始终，要求学生不仅记录“用了什么</w:t>
      </w:r>
      <w:r>
        <w:rPr>
          <w:spacing w:val="-105"/>
        </w:rPr>
        <w:t xml:space="preserve"> </w:t>
      </w:r>
      <w:r>
        <w:rPr>
          <w:spacing w:val="-3"/>
        </w:rPr>
        <w:t>”，</w:t>
      </w:r>
      <w:r>
        <w:t xml:space="preserve"> </w:t>
      </w:r>
      <w:r>
        <w:rPr>
          <w:spacing w:val="-11"/>
        </w:rPr>
        <w:t>更要反思“如何使用</w:t>
      </w:r>
      <w:r>
        <w:rPr>
          <w:spacing w:val="-103"/>
        </w:rPr>
        <w:t xml:space="preserve"> </w:t>
      </w:r>
      <w:r>
        <w:rPr>
          <w:spacing w:val="-11"/>
        </w:rPr>
        <w:t>”以及“为何这样用</w:t>
      </w:r>
      <w:r>
        <w:rPr>
          <w:spacing w:val="-105"/>
        </w:rPr>
        <w:t xml:space="preserve"> </w:t>
      </w:r>
      <w:r>
        <w:rPr>
          <w:spacing w:val="-11"/>
        </w:rPr>
        <w:t>”。</w:t>
      </w:r>
      <w:r>
        <w:rPr>
          <w:spacing w:val="-12"/>
        </w:rPr>
        <w:t>每条日志条目必须包</w:t>
      </w:r>
      <w:r>
        <w:t xml:space="preserve"> </w:t>
      </w:r>
      <w:r>
        <w:rPr>
          <w:spacing w:val="-4"/>
        </w:rPr>
        <w:t>含以下内容：</w:t>
      </w:r>
    </w:p>
    <w:p>
      <w:pPr>
        <w:pStyle w:val="2"/>
        <w:spacing w:before="286" w:line="223" w:lineRule="auto"/>
        <w:ind w:left="603"/>
      </w:pPr>
      <w:r>
        <w:rPr>
          <w:spacing w:val="-2"/>
        </w:rPr>
        <w:t>1.使用的工具：具体到模型版本；</w:t>
      </w:r>
    </w:p>
    <w:p>
      <w:pPr>
        <w:pStyle w:val="2"/>
        <w:spacing w:before="285" w:line="217" w:lineRule="auto"/>
        <w:ind w:left="586"/>
      </w:pPr>
      <w:r>
        <w:rPr>
          <w:spacing w:val="-2"/>
        </w:rPr>
        <w:t>2.输入的提示词（Prompt</w:t>
      </w:r>
      <w:r>
        <w:rPr>
          <w:spacing w:val="-52"/>
        </w:rPr>
        <w:t>）：</w:t>
      </w:r>
      <w:r>
        <w:rPr>
          <w:spacing w:val="-2"/>
        </w:rPr>
        <w:t>完整、无删改地复制；</w:t>
      </w:r>
    </w:p>
    <w:p>
      <w:pPr>
        <w:spacing w:line="217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pStyle w:val="2"/>
        <w:spacing w:before="181" w:line="222" w:lineRule="auto"/>
        <w:ind w:left="588"/>
      </w:pPr>
      <w:r>
        <w:rPr>
          <w:spacing w:val="-3"/>
        </w:rPr>
        <w:t>3.AI</w:t>
      </w:r>
      <w:r>
        <w:rPr>
          <w:spacing w:val="-17"/>
        </w:rPr>
        <w:t xml:space="preserve"> </w:t>
      </w:r>
      <w:r>
        <w:rPr>
          <w:spacing w:val="-3"/>
        </w:rPr>
        <w:t>的原始输出：关键部分的截图或文本复制；</w:t>
      </w:r>
    </w:p>
    <w:p>
      <w:pPr>
        <w:pStyle w:val="2"/>
        <w:spacing w:before="287" w:line="316" w:lineRule="auto"/>
        <w:ind w:left="45" w:right="239" w:firstLine="536"/>
      </w:pPr>
      <w:r>
        <w:rPr>
          <w:spacing w:val="-14"/>
        </w:rPr>
        <w:t>4.学生的分析与反思：对</w:t>
      </w:r>
      <w:r>
        <w:rPr>
          <w:spacing w:val="-58"/>
        </w:rPr>
        <w:t xml:space="preserve"> </w:t>
      </w:r>
      <w:r>
        <w:rPr>
          <w:spacing w:val="-14"/>
        </w:rPr>
        <w:t>AI</w:t>
      </w:r>
      <w:r>
        <w:rPr>
          <w:spacing w:val="-51"/>
        </w:rPr>
        <w:t xml:space="preserve"> </w:t>
      </w:r>
      <w:r>
        <w:rPr>
          <w:spacing w:val="-14"/>
        </w:rPr>
        <w:t>输出的批判性评价（哪些部分有用？</w:t>
      </w:r>
      <w:r>
        <w:t xml:space="preserve"> </w:t>
      </w:r>
      <w:r>
        <w:rPr>
          <w:spacing w:val="-4"/>
        </w:rPr>
        <w:t>哪些是“幻觉</w:t>
      </w:r>
      <w:r>
        <w:rPr>
          <w:spacing w:val="-105"/>
        </w:rPr>
        <w:t xml:space="preserve"> </w:t>
      </w:r>
      <w:r>
        <w:rPr>
          <w:spacing w:val="-4"/>
        </w:rPr>
        <w:t>”或错误？哪些有启发性</w:t>
      </w:r>
      <w:r>
        <w:rPr>
          <w:spacing w:val="1"/>
        </w:rPr>
        <w:t>？）</w:t>
      </w:r>
    </w:p>
    <w:p>
      <w:pPr>
        <w:pStyle w:val="2"/>
        <w:spacing w:before="289" w:line="317" w:lineRule="auto"/>
        <w:ind w:left="32" w:firstLine="556"/>
      </w:pPr>
      <w:r>
        <w:rPr>
          <w:spacing w:val="-4"/>
        </w:rPr>
        <w:t>5.最终采纳与优化：说明学生如何对AI</w:t>
      </w:r>
      <w:r>
        <w:rPr>
          <w:spacing w:val="-36"/>
        </w:rPr>
        <w:t xml:space="preserve"> </w:t>
      </w:r>
      <w:r>
        <w:rPr>
          <w:spacing w:val="-4"/>
        </w:rPr>
        <w:t>的输出进行修改、优化、</w:t>
      </w:r>
      <w:r>
        <w:t xml:space="preserve"> </w:t>
      </w:r>
      <w:r>
        <w:rPr>
          <w:spacing w:val="-2"/>
        </w:rPr>
        <w:t>整合，最终形成自己的成果</w:t>
      </w: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before="91" w:line="221" w:lineRule="auto"/>
        <w:ind w:left="25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三、活动流程</w:t>
      </w:r>
    </w:p>
    <w:p>
      <w:pPr>
        <w:pStyle w:val="2"/>
        <w:spacing w:before="288" w:line="221" w:lineRule="auto"/>
        <w:ind w:left="606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主题发布。专家评委现场公布任务主题和相关要求。</w:t>
      </w:r>
    </w:p>
    <w:p>
      <w:pPr>
        <w:pStyle w:val="2"/>
        <w:spacing w:before="290" w:line="316" w:lineRule="auto"/>
        <w:ind w:left="36" w:right="128" w:firstLine="543"/>
      </w:pPr>
      <w:r>
        <w:rPr>
          <w:rFonts w:ascii="Times New Roman" w:hAnsi="Times New Roman" w:eastAsia="Times New Roman" w:cs="Times New Roman"/>
          <w:spacing w:val="-2"/>
        </w:rPr>
        <w:t>2.</w:t>
      </w:r>
      <w:r>
        <w:rPr>
          <w:spacing w:val="-2"/>
        </w:rPr>
        <w:t>现场创作。参加活动的选手根据公布的主题，</w:t>
      </w:r>
      <w:r>
        <w:rPr>
          <w:spacing w:val="-3"/>
        </w:rPr>
        <w:t>在规定时间内，</w:t>
      </w:r>
      <w:r>
        <w:t xml:space="preserve"> </w:t>
      </w:r>
      <w:r>
        <w:rPr>
          <w:spacing w:val="-2"/>
        </w:rPr>
        <w:t>选择相应的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AI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rPr>
          <w:spacing w:val="-2"/>
        </w:rPr>
        <w:t>软件，现场创作作品并按要求提交作品及源文件。</w:t>
      </w:r>
    </w:p>
    <w:p>
      <w:pPr>
        <w:pStyle w:val="2"/>
        <w:spacing w:before="291" w:line="364" w:lineRule="auto"/>
        <w:ind w:left="32" w:right="93" w:firstLine="552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展示交流。参与活动的选手介绍、展示创作作</w:t>
      </w:r>
      <w:r>
        <w:rPr>
          <w:spacing w:val="-2"/>
        </w:rPr>
        <w:t>品，包括创作思</w:t>
      </w:r>
      <w:r>
        <w:t xml:space="preserve"> </w:t>
      </w:r>
      <w:r>
        <w:rPr>
          <w:spacing w:val="-7"/>
        </w:rPr>
        <w:t>想、技术手段、创作过程（含与</w:t>
      </w:r>
      <w:r>
        <w:rPr>
          <w:rFonts w:ascii="Times New Roman" w:hAnsi="Times New Roman" w:eastAsia="Times New Roman" w:cs="Times New Roman"/>
          <w:spacing w:val="-7"/>
        </w:rPr>
        <w:t>AI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7"/>
        </w:rPr>
        <w:t>对话过程）、创新之处等，演</w:t>
      </w:r>
      <w:r>
        <w:rPr>
          <w:spacing w:val="-8"/>
        </w:rPr>
        <w:t>示程</w:t>
      </w:r>
      <w:r>
        <w:t xml:space="preserve"> </w:t>
      </w:r>
      <w:r>
        <w:rPr>
          <w:spacing w:val="-4"/>
        </w:rPr>
        <w:t>序功能并进行经验交流、互动学习。作品展示交流时长以现场要求为</w:t>
      </w:r>
      <w:r>
        <w:rPr>
          <w:spacing w:val="6"/>
        </w:rPr>
        <w:t xml:space="preserve"> </w:t>
      </w:r>
      <w:r>
        <w:rPr>
          <w:spacing w:val="-9"/>
        </w:rPr>
        <w:t>准。</w:t>
      </w:r>
    </w:p>
    <w:p>
      <w:pPr>
        <w:pStyle w:val="2"/>
        <w:spacing w:before="287" w:line="316" w:lineRule="auto"/>
        <w:ind w:left="31" w:right="93" w:firstLine="545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综合评定。专家评委综合创作作品、展示交流各环节的学生表</w:t>
      </w:r>
      <w:r>
        <w:t xml:space="preserve"> </w:t>
      </w:r>
      <w:r>
        <w:rPr>
          <w:spacing w:val="-3"/>
        </w:rPr>
        <w:t>现进行综合评定。</w:t>
      </w:r>
    </w:p>
    <w:p>
      <w:pPr>
        <w:pStyle w:val="2"/>
        <w:spacing w:before="289" w:line="316" w:lineRule="auto"/>
        <w:ind w:left="38" w:right="93" w:firstLine="548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结果公布。评定结果在全部活动项目结束</w:t>
      </w:r>
      <w:r>
        <w:rPr>
          <w:spacing w:val="-2"/>
        </w:rPr>
        <w:t>后，按现场要求予以</w:t>
      </w:r>
      <w:r>
        <w:t xml:space="preserve"> </w:t>
      </w:r>
      <w:r>
        <w:rPr>
          <w:spacing w:val="-8"/>
        </w:rPr>
        <w:t>公布。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91" w:line="221" w:lineRule="auto"/>
        <w:ind w:left="51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四、注意事项</w:t>
      </w:r>
    </w:p>
    <w:p>
      <w:pPr>
        <w:spacing w:line="221" w:lineRule="auto"/>
        <w:rPr>
          <w:rFonts w:ascii="宋体" w:hAnsi="宋体" w:eastAsia="宋体" w:cs="宋体"/>
          <w:sz w:val="28"/>
          <w:szCs w:val="28"/>
        </w:rPr>
        <w:sectPr>
          <w:pgSz w:w="11906" w:h="16839"/>
          <w:pgMar w:top="1431" w:right="1705" w:bottom="0" w:left="1785" w:header="0" w:footer="0" w:gutter="0"/>
          <w:cols w:space="720" w:num="1"/>
        </w:sectPr>
      </w:pPr>
    </w:p>
    <w:p>
      <w:pPr>
        <w:pStyle w:val="2"/>
        <w:spacing w:before="171" w:line="350" w:lineRule="auto"/>
        <w:ind w:left="453" w:right="59" w:hanging="416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4"/>
        </w:rPr>
        <w:t xml:space="preserve"> </w:t>
      </w:r>
      <w:r>
        <w:rPr>
          <w:spacing w:val="-1"/>
        </w:rPr>
        <w:t>学生自带笔记本电脑等创作设备，提前安装好所需软件，</w:t>
      </w:r>
      <w:r>
        <w:rPr>
          <w:spacing w:val="-2"/>
        </w:rPr>
        <w:t>现场创</w:t>
      </w:r>
      <w:r>
        <w:t xml:space="preserve"> </w:t>
      </w:r>
      <w:r>
        <w:rPr>
          <w:spacing w:val="-1"/>
        </w:rPr>
        <w:t>作期间需使用录屏软件，全程记录创作过程。所有设备在项目全</w:t>
      </w:r>
      <w:r>
        <w:rPr>
          <w:spacing w:val="8"/>
        </w:rPr>
        <w:t xml:space="preserve"> </w:t>
      </w:r>
      <w:r>
        <w:rPr>
          <w:spacing w:val="-2"/>
        </w:rPr>
        <w:t>部结束后方能带出离场。</w:t>
      </w:r>
    </w:p>
    <w:p>
      <w:pPr>
        <w:pStyle w:val="2"/>
        <w:spacing w:before="279" w:line="350" w:lineRule="auto"/>
        <w:ind w:left="451" w:right="59" w:hanging="414"/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1"/>
        </w:rPr>
        <w:t xml:space="preserve"> </w:t>
      </w:r>
      <w:r>
        <w:rPr>
          <w:spacing w:val="-1"/>
        </w:rPr>
        <w:t>产品须为原创，产品内容健康向上，不触犯国家法律法规，不得</w:t>
      </w:r>
      <w:r>
        <w:t xml:space="preserve"> </w:t>
      </w:r>
      <w:r>
        <w:rPr>
          <w:spacing w:val="-1"/>
        </w:rPr>
        <w:t>剽窃、抄袭、顶替他人产品，如因此引起任何法律纠纷，其法律</w:t>
      </w:r>
      <w:r>
        <w:rPr>
          <w:spacing w:val="9"/>
        </w:rPr>
        <w:t xml:space="preserve"> </w:t>
      </w:r>
      <w:r>
        <w:rPr>
          <w:spacing w:val="-1"/>
        </w:rPr>
        <w:t>责任由学生本人承担，并取消参与资格和评优资格。</w:t>
      </w:r>
    </w:p>
    <w:p>
      <w:pPr>
        <w:pStyle w:val="2"/>
        <w:spacing w:before="278" w:line="320" w:lineRule="auto"/>
        <w:ind w:left="451" w:right="59" w:hanging="414"/>
        <w:rPr>
          <w:spacing w:val="-1"/>
        </w:rPr>
      </w:pPr>
      <w:r>
        <w:rPr>
          <w:position w:val="-5"/>
        </w:rPr>
        <w:drawing>
          <wp:inline distT="0" distB="0" distL="0" distR="0">
            <wp:extent cx="102870" cy="19748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313" cy="19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1"/>
        </w:rPr>
        <w:t xml:space="preserve"> </w:t>
      </w:r>
      <w:r>
        <w:rPr>
          <w:spacing w:val="-1"/>
        </w:rPr>
        <w:t>所有产品一经提交，即视为学生同意组委会拥有对其产品的使用</w:t>
      </w:r>
      <w:r>
        <w:t xml:space="preserve"> </w:t>
      </w:r>
      <w:r>
        <w:rPr>
          <w:spacing w:val="-1"/>
        </w:rPr>
        <w:t>权，同意组委会以任何形式对其产品进行展示和传播。</w:t>
      </w:r>
    </w:p>
    <w:p>
      <w:pPr>
        <w:rPr>
          <w:spacing w:val="-1"/>
        </w:rPr>
      </w:pPr>
      <w:r>
        <w:rPr>
          <w:spacing w:val="-1"/>
        </w:rPr>
        <w:br w:type="page"/>
      </w:r>
    </w:p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before="153" w:line="224" w:lineRule="auto"/>
        <w:ind w:left="3086"/>
        <w:outlineLvl w:val="0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1"/>
          <w:sz w:val="47"/>
          <w:szCs w:val="47"/>
        </w:rPr>
        <w:t>项目评分表</w:t>
      </w:r>
    </w:p>
    <w:p>
      <w:pPr>
        <w:spacing w:before="65"/>
      </w:pPr>
    </w:p>
    <w:p>
      <w:pPr>
        <w:spacing w:before="65"/>
      </w:pPr>
    </w:p>
    <w:p>
      <w:pPr>
        <w:spacing w:before="64"/>
      </w:pPr>
    </w:p>
    <w:tbl>
      <w:tblPr>
        <w:tblStyle w:val="5"/>
        <w:tblW w:w="86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5083"/>
        <w:gridCol w:w="998"/>
        <w:gridCol w:w="9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94" w:hRule="atLeast"/>
        </w:trPr>
        <w:tc>
          <w:tcPr>
            <w:tcW w:w="1608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</w:p>
          <w:p>
            <w:pPr>
              <w:spacing w:before="65" w:line="226" w:lineRule="auto"/>
              <w:ind w:left="3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评价维度</w:t>
            </w:r>
          </w:p>
        </w:tc>
        <w:tc>
          <w:tcPr>
            <w:tcW w:w="5083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1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</w:rPr>
              <w:t>核心标准</w:t>
            </w:r>
          </w:p>
        </w:tc>
        <w:tc>
          <w:tcPr>
            <w:tcW w:w="998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0"/>
                <w:szCs w:val="20"/>
              </w:rPr>
              <w:t>分值</w:t>
            </w:r>
          </w:p>
        </w:tc>
        <w:tc>
          <w:tcPr>
            <w:tcW w:w="943" w:type="dxa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</w:p>
          <w:p>
            <w:pPr>
              <w:spacing w:before="65" w:line="228" w:lineRule="auto"/>
              <w:ind w:left="2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3" w:lineRule="auto"/>
              <w:ind w:left="401"/>
            </w:pPr>
            <w:r>
              <w:rPr>
                <w:spacing w:val="4"/>
              </w:rPr>
              <w:t>主题立意</w:t>
            </w:r>
          </w:p>
        </w:tc>
        <w:tc>
          <w:tcPr>
            <w:tcW w:w="5083" w:type="dxa"/>
            <w:vAlign w:val="top"/>
          </w:tcPr>
          <w:p>
            <w:pPr>
              <w:pStyle w:val="6"/>
              <w:spacing w:before="51" w:line="262" w:lineRule="auto"/>
              <w:ind w:left="128" w:right="146" w:hanging="3"/>
            </w:pPr>
            <w:r>
              <w:rPr>
                <w:spacing w:val="8"/>
              </w:rPr>
              <w:t>1.思想性：主题真实有效，立意积极健康，具有清晰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的用户或社会价值；</w:t>
            </w:r>
          </w:p>
        </w:tc>
        <w:tc>
          <w:tcPr>
            <w:tcW w:w="998" w:type="dxa"/>
            <w:vMerge w:val="restart"/>
            <w:tcBorders>
              <w:bottom w:val="nil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40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94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1" w:line="229" w:lineRule="auto"/>
              <w:ind w:left="112"/>
            </w:pPr>
            <w:r>
              <w:rPr>
                <w:spacing w:val="8"/>
              </w:rPr>
              <w:t>2.原创性：解决方案新颖、巧妙，具备独特的创见。</w:t>
            </w:r>
          </w:p>
        </w:tc>
        <w:tc>
          <w:tcPr>
            <w:tcW w:w="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40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2" w:lineRule="auto"/>
              <w:ind w:left="291"/>
            </w:pPr>
            <w:r>
              <w:rPr>
                <w:spacing w:val="6"/>
              </w:rPr>
              <w:t>产品表现力</w:t>
            </w:r>
          </w:p>
        </w:tc>
        <w:tc>
          <w:tcPr>
            <w:tcW w:w="5083" w:type="dxa"/>
            <w:vAlign w:val="top"/>
          </w:tcPr>
          <w:p>
            <w:pPr>
              <w:pStyle w:val="6"/>
              <w:spacing w:before="52" w:line="270" w:lineRule="auto"/>
              <w:ind w:left="120" w:right="146" w:firstLine="5"/>
              <w:jc w:val="both"/>
            </w:pPr>
            <w:r>
              <w:rPr>
                <w:spacing w:val="8"/>
              </w:rPr>
              <w:t>1.技术性：产品架构完整，体系设计清晰，功能实现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完整、稳定，程序逻辑严谨，代码算法准确，并具有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一定的技术探索性；</w:t>
            </w:r>
          </w:p>
        </w:tc>
        <w:tc>
          <w:tcPr>
            <w:tcW w:w="998" w:type="dxa"/>
            <w:vMerge w:val="restart"/>
            <w:tcBorders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40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94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8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4" w:line="260" w:lineRule="auto"/>
              <w:ind w:left="115" w:right="146" w:hanging="3"/>
            </w:pPr>
            <w:r>
              <w:rPr>
                <w:spacing w:val="9"/>
              </w:rPr>
              <w:t>2.创新性：对传统场景，具有新颖思考，具有实际价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值，设计创意巧妙，具有想象力，展现个性</w:t>
            </w:r>
            <w:r>
              <w:rPr>
                <w:spacing w:val="8"/>
              </w:rPr>
              <w:t>表现力；</w:t>
            </w:r>
          </w:p>
        </w:tc>
        <w:tc>
          <w:tcPr>
            <w:tcW w:w="99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40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9" w:lineRule="auto"/>
              <w:ind w:left="116" w:right="105" w:hanging="2"/>
              <w:jc w:val="both"/>
            </w:pPr>
            <w:r>
              <w:rPr>
                <w:spacing w:val="11"/>
              </w:rPr>
              <w:t>3.艺术性与用户体验：产品界面（</w:t>
            </w:r>
            <w:r>
              <w:t>UI</w:t>
            </w:r>
            <w:r>
              <w:rPr>
                <w:spacing w:val="11"/>
              </w:rPr>
              <w:t>）设计美观、协</w:t>
            </w:r>
            <w:r>
              <w:rPr>
                <w:spacing w:val="4"/>
              </w:rPr>
              <w:t xml:space="preserve"> </w:t>
            </w:r>
            <w:r>
              <w:rPr>
                <w:spacing w:val="11"/>
              </w:rPr>
              <w:t>调，交互（</w:t>
            </w:r>
            <w:r>
              <w:t>UX</w:t>
            </w:r>
            <w:r>
              <w:rPr>
                <w:spacing w:val="11"/>
              </w:rPr>
              <w:t>）流程直观、流畅，设计风格和主题一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致，体现以用户为中心的设计思想。</w:t>
            </w:r>
          </w:p>
        </w:tc>
        <w:tc>
          <w:tcPr>
            <w:tcW w:w="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292"/>
            </w:pPr>
            <w:r>
              <w:rPr>
                <w:spacing w:val="6"/>
              </w:rPr>
              <w:t>过程完整性</w:t>
            </w: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0" w:lineRule="auto"/>
              <w:ind w:left="116" w:right="183" w:firstLine="9"/>
            </w:pPr>
            <w:r>
              <w:rPr>
                <w:spacing w:val="7"/>
              </w:rPr>
              <w:t>1.过程完整性：过程性文档等交付成果齐全、翔实、</w:t>
            </w:r>
            <w:r>
              <w:t xml:space="preserve"> </w:t>
            </w:r>
            <w:r>
              <w:rPr>
                <w:spacing w:val="9"/>
              </w:rPr>
              <w:t>规范，完整体现0-1</w:t>
            </w:r>
            <w:r>
              <w:rPr>
                <w:spacing w:val="-16"/>
              </w:rPr>
              <w:t xml:space="preserve"> </w:t>
            </w:r>
            <w:r>
              <w:rPr>
                <w:spacing w:val="9"/>
              </w:rPr>
              <w:t>产品研发全流程；</w:t>
            </w:r>
          </w:p>
        </w:tc>
        <w:tc>
          <w:tcPr>
            <w:tcW w:w="998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4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30</w:t>
            </w:r>
          </w:p>
        </w:tc>
        <w:tc>
          <w:tcPr>
            <w:tcW w:w="94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0" w:lineRule="auto"/>
              <w:ind w:left="113" w:right="88" w:hanging="1"/>
            </w:pPr>
            <w:r>
              <w:rPr>
                <w:spacing w:val="9"/>
              </w:rPr>
              <w:t>2.迭代性思维：从测试评估或</w:t>
            </w:r>
            <w:r>
              <w:t>AIGC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交互中发现问题，</w:t>
            </w:r>
            <w:r>
              <w:t xml:space="preserve"> </w:t>
            </w:r>
            <w:r>
              <w:rPr>
                <w:spacing w:val="7"/>
              </w:rPr>
              <w:t>有效改进迭代产品方案；</w:t>
            </w:r>
          </w:p>
        </w:tc>
        <w:tc>
          <w:tcPr>
            <w:tcW w:w="99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3" w:line="261" w:lineRule="auto"/>
              <w:ind w:left="128" w:right="107" w:hanging="14"/>
            </w:pPr>
            <w:r>
              <w:rPr>
                <w:spacing w:val="9"/>
              </w:rPr>
              <w:t>3.</w:t>
            </w:r>
            <w:r>
              <w:t>AIGC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交互</w:t>
            </w:r>
            <w:r>
              <w:rPr>
                <w:spacing w:val="-37"/>
              </w:rPr>
              <w:t xml:space="preserve"> </w:t>
            </w:r>
            <w:r>
              <w:rPr>
                <w:spacing w:val="9"/>
              </w:rPr>
              <w:t>日志：完整记录</w:t>
            </w:r>
            <w:r>
              <w:rPr>
                <w:spacing w:val="-42"/>
              </w:rPr>
              <w:t xml:space="preserve"> </w:t>
            </w:r>
            <w:r>
              <w:t>AIGC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辅助实现产品研发</w:t>
            </w:r>
            <w:r>
              <w:t xml:space="preserve"> </w:t>
            </w:r>
            <w:r>
              <w:rPr>
                <w:spacing w:val="9"/>
              </w:rPr>
              <w:t>的全过程，清晰地呈现学生与</w:t>
            </w:r>
            <w:r>
              <w:t>AI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的互动轨迹。</w:t>
            </w:r>
          </w:p>
        </w:tc>
        <w:tc>
          <w:tcPr>
            <w:tcW w:w="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189"/>
            </w:pPr>
            <w:r>
              <w:rPr>
                <w:spacing w:val="6"/>
              </w:rPr>
              <w:t>人工智能素养</w:t>
            </w: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0" w:lineRule="auto"/>
              <w:ind w:left="117" w:right="105" w:firstLine="8"/>
            </w:pPr>
            <w:r>
              <w:rPr>
                <w:spacing w:val="8"/>
              </w:rPr>
              <w:t>1.工具策略性：策略性地选择和使用</w:t>
            </w:r>
            <w:r>
              <w:t>AIGC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工具以提升</w:t>
            </w:r>
            <w:r>
              <w:t xml:space="preserve"> </w:t>
            </w:r>
            <w:r>
              <w:rPr>
                <w:spacing w:val="6"/>
              </w:rPr>
              <w:t>项目质量和效率；</w:t>
            </w:r>
          </w:p>
        </w:tc>
        <w:tc>
          <w:tcPr>
            <w:tcW w:w="998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1" w:line="186" w:lineRule="auto"/>
              <w:ind w:left="4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30</w:t>
            </w:r>
          </w:p>
        </w:tc>
        <w:tc>
          <w:tcPr>
            <w:tcW w:w="94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40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9" w:lineRule="auto"/>
              <w:ind w:left="115" w:right="107" w:hanging="3"/>
              <w:jc w:val="both"/>
            </w:pPr>
            <w:r>
              <w:rPr>
                <w:spacing w:val="7"/>
              </w:rPr>
              <w:t>2.批判性思维：精准设计提示词，</w:t>
            </w:r>
            <w:r>
              <w:rPr>
                <w:spacing w:val="-50"/>
              </w:rPr>
              <w:t xml:space="preserve"> </w:t>
            </w:r>
            <w:r>
              <w:rPr>
                <w:spacing w:val="7"/>
              </w:rPr>
              <w:t>以专业视角引导大</w:t>
            </w:r>
            <w:r>
              <w:t xml:space="preserve"> </w:t>
            </w:r>
            <w:r>
              <w:rPr>
                <w:spacing w:val="8"/>
              </w:rPr>
              <w:t>模型，确保其高效输出优质结果，</w:t>
            </w:r>
            <w:r>
              <w:t>AIGC</w:t>
            </w:r>
            <w:r>
              <w:rPr>
                <w:spacing w:val="-15"/>
              </w:rPr>
              <w:t xml:space="preserve"> </w:t>
            </w:r>
            <w:r>
              <w:rPr>
                <w:spacing w:val="8"/>
              </w:rPr>
              <w:t>交互日志体现</w:t>
            </w:r>
            <w:r>
              <w:t xml:space="preserve"> </w:t>
            </w:r>
            <w:r>
              <w:rPr>
                <w:spacing w:val="7"/>
              </w:rPr>
              <w:t>对</w:t>
            </w:r>
            <w:r>
              <w:rPr>
                <w:spacing w:val="-35"/>
              </w:rPr>
              <w:t xml:space="preserve"> </w:t>
            </w:r>
            <w:r>
              <w:t>AI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输出的深度分析、甄别与优化；</w:t>
            </w:r>
          </w:p>
        </w:tc>
        <w:tc>
          <w:tcPr>
            <w:tcW w:w="99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0" w:lineRule="auto"/>
              <w:ind w:left="121" w:right="105" w:hanging="7"/>
            </w:pPr>
            <w:r>
              <w:rPr>
                <w:spacing w:val="8"/>
              </w:rPr>
              <w:t>3.社会伦理意识：正确认识</w:t>
            </w:r>
            <w:r>
              <w:t>AIGC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的价值，负责任、合</w:t>
            </w:r>
            <w:r>
              <w:t xml:space="preserve"> </w:t>
            </w:r>
            <w:r>
              <w:rPr>
                <w:spacing w:val="12"/>
              </w:rPr>
              <w:t>乎规范地使用</w:t>
            </w:r>
            <w:r>
              <w:t>AIGC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工具；</w:t>
            </w:r>
          </w:p>
        </w:tc>
        <w:tc>
          <w:tcPr>
            <w:tcW w:w="99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9" w:hRule="atLeast"/>
        </w:trPr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3" w:type="dxa"/>
            <w:vAlign w:val="top"/>
          </w:tcPr>
          <w:p>
            <w:pPr>
              <w:pStyle w:val="6"/>
              <w:spacing w:before="55" w:line="260" w:lineRule="auto"/>
              <w:ind w:left="119" w:right="107" w:hanging="10"/>
            </w:pPr>
            <w:r>
              <w:rPr>
                <w:spacing w:val="11"/>
              </w:rPr>
              <w:t>4.沟通与表达：路演讲解逻辑清晰、具有</w:t>
            </w:r>
            <w:r>
              <w:rPr>
                <w:spacing w:val="10"/>
              </w:rPr>
              <w:t>说服力，有</w:t>
            </w:r>
            <w:r>
              <w:t xml:space="preserve"> </w:t>
            </w:r>
            <w:r>
              <w:rPr>
                <w:spacing w:val="6"/>
              </w:rPr>
              <w:t>效传达产品价值。</w:t>
            </w:r>
          </w:p>
        </w:tc>
        <w:tc>
          <w:tcPr>
            <w:tcW w:w="99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6" w:hRule="atLeast"/>
        </w:trPr>
        <w:tc>
          <w:tcPr>
            <w:tcW w:w="6691" w:type="dxa"/>
            <w:gridSpan w:val="2"/>
            <w:vAlign w:val="top"/>
          </w:tcPr>
          <w:p>
            <w:pPr>
              <w:pStyle w:val="6"/>
              <w:spacing w:before="188" w:line="232" w:lineRule="auto"/>
              <w:ind w:left="3156"/>
            </w:pPr>
            <w:r>
              <w:rPr>
                <w:spacing w:val="-3"/>
              </w:rPr>
              <w:t>总分</w:t>
            </w:r>
          </w:p>
        </w:tc>
        <w:tc>
          <w:tcPr>
            <w:tcW w:w="19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pStyle w:val="2"/>
        <w:spacing w:before="278" w:line="320" w:lineRule="auto"/>
        <w:ind w:left="451" w:right="59" w:hanging="414"/>
        <w:rPr>
          <w:spacing w:val="-1"/>
        </w:rPr>
      </w:pPr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A1BF3A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" w:hAnsi="FangSong" w:eastAsia="FangSong" w:cs="FangSong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" w:hAnsi="FangSong" w:eastAsia="FangSong" w:cs="FangSong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Office_6.7.1.8828_F1E327BC-269C-435d-A152-05C5408002CA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2025-12-25T22:55:00Z</dcterms:created>
  <dc:creator>Data</dc:creator>
  <cp:lastModifiedBy>李亚尼</cp:lastModifiedBy>
  <dcterms:modified xsi:type="dcterms:W3CDTF">2025-12-25T14:56:26Z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2025-12-25T14:55:47Z</vt:filetime>
  </property>
  <property fmtid="{D5CDD505-2E9C-101B-9397-08002B2CF9AE}" pid="4" name="UsrData">
    <vt:lpwstr>694cdff20025b3001f7ba021wl</vt:lpwstr>
  </property>
  <property fmtid="{D5CDD505-2E9C-101B-9397-08002B2CF9AE}" pid="5" name="KSOProductBuildVer">
    <vt:lpwstr>2052-6.7.1.8828</vt:lpwstr>
  </property>
  <property fmtid="{D5CDD505-2E9C-101B-9397-08002B2CF9AE}" pid="6" name="ICV">
    <vt:lpwstr>106407C2BB3566E71AE04C6900694E41_42</vt:lpwstr>
  </property>
</Properties>
</file>